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0B" w:rsidRPr="005220BF" w:rsidRDefault="00CE720B" w:rsidP="004E51E4">
      <w:pPr>
        <w:rPr>
          <w:rFonts w:ascii="Times New Roman" w:hAnsi="Times New Roman" w:cs="Times New Roman"/>
          <w:sz w:val="24"/>
          <w:szCs w:val="24"/>
        </w:rPr>
      </w:pPr>
    </w:p>
    <w:p w:rsidR="00074332" w:rsidRPr="005220BF" w:rsidRDefault="00074332" w:rsidP="00074332">
      <w:pPr>
        <w:spacing w:line="0" w:lineRule="atLeast"/>
        <w:ind w:left="98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220BF">
        <w:rPr>
          <w:rFonts w:ascii="Times New Roman" w:eastAsia="Times New Roman" w:hAnsi="Times New Roman"/>
          <w:b/>
          <w:sz w:val="24"/>
          <w:szCs w:val="24"/>
        </w:rPr>
        <w:t xml:space="preserve">КРИТЕРИЈУМИ ЗА ОЦЕЊИВАЊЕ И ОДАБИР </w:t>
      </w:r>
    </w:p>
    <w:p w:rsidR="00803DBC" w:rsidRPr="005220BF" w:rsidRDefault="00074332" w:rsidP="005220BF">
      <w:pPr>
        <w:spacing w:line="0" w:lineRule="atLeast"/>
        <w:ind w:left="98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220BF">
        <w:rPr>
          <w:rFonts w:ascii="Times New Roman" w:eastAsia="Times New Roman" w:hAnsi="Times New Roman"/>
          <w:b/>
          <w:sz w:val="24"/>
          <w:szCs w:val="24"/>
          <w:lang w:val="sr-Cyrl-RS"/>
        </w:rPr>
        <w:t>МЕРА ПОПУЛАЦИОНЕ ПОЛИТИКЕ</w:t>
      </w:r>
      <w:r w:rsidR="00B23CB6" w:rsidRPr="005220B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 ПОДРШКЕ У ОБЛАСТИ ПОРОДИЦЕ И</w:t>
      </w:r>
      <w:r w:rsidR="004E51E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ДЕЦЕ У РЕПУБЛИЦИ СРБИЈИ ЗА 2024</w:t>
      </w:r>
      <w:r w:rsidR="00B23CB6" w:rsidRPr="005220BF">
        <w:rPr>
          <w:rFonts w:ascii="Times New Roman" w:eastAsia="Times New Roman" w:hAnsi="Times New Roman"/>
          <w:b/>
          <w:sz w:val="24"/>
          <w:szCs w:val="24"/>
          <w:lang w:val="sr-Cyrl-RS"/>
        </w:rPr>
        <w:t>. ГОДИНУ</w:t>
      </w:r>
    </w:p>
    <w:p w:rsidR="00803DBC" w:rsidRDefault="00803DBC"/>
    <w:tbl>
      <w:tblPr>
        <w:tblW w:w="8768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823"/>
      </w:tblGrid>
      <w:tr w:rsidR="00074332" w:rsidRPr="00E84D50" w:rsidTr="009D559F">
        <w:trPr>
          <w:trHeight w:val="285"/>
        </w:trPr>
        <w:tc>
          <w:tcPr>
            <w:tcW w:w="69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332" w:rsidRPr="005C556C" w:rsidRDefault="00074332" w:rsidP="005220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Критеријуми</w:t>
            </w:r>
          </w:p>
        </w:tc>
        <w:tc>
          <w:tcPr>
            <w:tcW w:w="18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332" w:rsidRPr="005C556C" w:rsidRDefault="00074332" w:rsidP="005220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Максимално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поена</w:t>
            </w:r>
            <w:proofErr w:type="spellEnd"/>
          </w:p>
        </w:tc>
      </w:tr>
      <w:tr w:rsidR="00074332" w:rsidRPr="00E84D50" w:rsidTr="005220BF">
        <w:trPr>
          <w:trHeight w:val="85"/>
        </w:trPr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bottom"/>
          </w:tcPr>
          <w:p w:rsidR="00074332" w:rsidRPr="005C556C" w:rsidRDefault="00074332" w:rsidP="0007433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 xml:space="preserve">Припадност одређеном подручју Републике Србије (Аутономна покрајина Војводина, Град </w:t>
            </w:r>
            <w:r w:rsidR="00A228A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Београд, Шумадија и Западна Србија, Јужна и И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сточна Србија)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D5DCE4"/>
            <w:vAlign w:val="bottom"/>
          </w:tcPr>
          <w:p w:rsidR="00074332" w:rsidRPr="005C556C" w:rsidRDefault="004E51E4" w:rsidP="0077442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1</w:t>
            </w:r>
            <w:r w:rsidR="0077442A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0</w:t>
            </w: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4E51E4" w:rsidRDefault="004E51E4" w:rsidP="004E51E4">
            <w:pPr>
              <w:pStyle w:val="ListParagraph"/>
              <w:numPr>
                <w:ilvl w:val="1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Недовољно развијени региони –</w:t>
            </w:r>
            <w:r w:rsidR="0077442A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4E51E4" w:rsidRDefault="004E51E4" w:rsidP="004E51E4">
            <w:pPr>
              <w:pStyle w:val="ListParagraph"/>
              <w:numPr>
                <w:ilvl w:val="1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Развијени региони –</w:t>
            </w:r>
            <w:r w:rsidR="0077442A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4E51E4" w:rsidP="004E51E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Разврставање региона дефинисано је Уредбом о утврђивању јединствене листе развијености региона и јединица локалне самоуправе за 2014. годину („Службени гласник РС“ број; 104/14)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07433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 xml:space="preserve"> Демографски  индикатори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D5DCE4"/>
            <w:vAlign w:val="center"/>
          </w:tcPr>
          <w:p w:rsidR="00074332" w:rsidRPr="0077442A" w:rsidRDefault="0077442A" w:rsidP="003C3F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1</w:t>
            </w:r>
            <w:r w:rsidR="003C3F47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0</w:t>
            </w: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3C3F4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2.1.  </w:t>
            </w:r>
            <w:r w:rsidR="004E51E4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Индекс старења већи од </w:t>
            </w:r>
            <w:r w:rsidR="003C3F47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150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 w:rsidR="0077442A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1</w:t>
            </w:r>
            <w:r w:rsidR="003C3F47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0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>поена</w:t>
            </w:r>
            <w:proofErr w:type="spellEnd"/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3C3F4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2.2.  </w:t>
            </w:r>
            <w:r w:rsidR="004E51E4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Индекс старења </w:t>
            </w:r>
            <w:r w:rsidR="003C3F47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мањи од 150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– </w:t>
            </w:r>
            <w:r w:rsidR="003C3F47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5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</w:rPr>
              <w:t>поена</w:t>
            </w:r>
            <w:proofErr w:type="spellEnd"/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557"/>
        </w:trPr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4E51E4" w:rsidP="004D6B14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Користе се званични </w:t>
            </w:r>
            <w:r w:rsidRPr="004E51E4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подаци Републичког завода за статистику</w:t>
            </w:r>
          </w:p>
        </w:tc>
        <w:tc>
          <w:tcPr>
            <w:tcW w:w="18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07433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 xml:space="preserve"> Процена одрживости предложених мера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D5DCE4"/>
            <w:vAlign w:val="center"/>
          </w:tcPr>
          <w:p w:rsidR="00074332" w:rsidRPr="008C0CFF" w:rsidRDefault="008C0CFF" w:rsidP="004D6B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5</w:t>
            </w: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895" w:rsidRPr="005C556C" w:rsidRDefault="00067895" w:rsidP="00C7225E">
            <w:pPr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3.1.  Достављени подаци указују да ће резултати реализације мера бити видљиви дуже време након завршетка активности –</w:t>
            </w:r>
            <w:r w:rsidR="008C0CF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25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067895" w:rsidRPr="005C556C" w:rsidRDefault="00067895" w:rsidP="00C7225E">
            <w:pPr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3.2. Достављени подаци претежно указују да ће резултати реализације мера бити видљиви дуже време након завршетка активности</w:t>
            </w:r>
            <w:r w:rsidR="00F10AE9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–</w:t>
            </w:r>
            <w:r w:rsidR="008C0CF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15</w:t>
            </w:r>
            <w:bookmarkStart w:id="0" w:name="_GoBack"/>
            <w:bookmarkEnd w:id="0"/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067895" w:rsidRPr="005C556C" w:rsidRDefault="00067895" w:rsidP="00C7225E">
            <w:pPr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3.3. Достављени подаци не указују да ће резултати реализације мера бити видљиви дуже време након завршетка активности 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–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0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07433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Очекивани е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фекти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предложених мера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77442A" w:rsidP="004D6B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lang w:val="sr-Cyrl-RS"/>
              </w:rPr>
              <w:t>20</w:t>
            </w:r>
          </w:p>
        </w:tc>
      </w:tr>
      <w:tr w:rsidR="00074332" w:rsidRPr="00E84D50" w:rsidTr="009D559F">
        <w:trPr>
          <w:trHeight w:val="71"/>
        </w:trPr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67895" w:rsidP="004D6B1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4.1. Од</w:t>
            </w:r>
            <w:r w:rsidR="0077442A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нос између процењених трошкова 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мера и очекиваних резултата је задовољавајући 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–</w:t>
            </w:r>
            <w:r w:rsidR="0077442A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20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067895" w:rsidRPr="005C556C" w:rsidRDefault="00067895" w:rsidP="004D6B1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4.2. Однос између процењених трошкова мера и очекиваних резултата је делимично задовољавајући – 10 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поена</w:t>
            </w:r>
          </w:p>
          <w:p w:rsidR="00067895" w:rsidRPr="005C556C" w:rsidRDefault="00067895" w:rsidP="004D6B1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4.3. Однос између процењених трошкова мера и очекиваних резултата није задовољавајући 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–</w:t>
            </w:r>
            <w:r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0</w:t>
            </w:r>
            <w:r w:rsidR="005C556C" w:rsidRPr="005C556C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</w:tc>
        <w:tc>
          <w:tcPr>
            <w:tcW w:w="182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4332" w:rsidRPr="005C556C" w:rsidRDefault="00074332" w:rsidP="004D6B1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4332" w:rsidRPr="00E84D50" w:rsidTr="009D559F">
        <w:trPr>
          <w:trHeight w:val="294"/>
        </w:trPr>
        <w:tc>
          <w:tcPr>
            <w:tcW w:w="6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074332" w:rsidP="0007433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</w:rPr>
              <w:t xml:space="preserve">5. </w:t>
            </w: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  <w:lang w:val="sr-Cyrl-RS"/>
              </w:rPr>
              <w:t xml:space="preserve"> Степен развијености ЈЛС</w:t>
            </w: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074332" w:rsidRPr="005C556C" w:rsidRDefault="00F10AE9" w:rsidP="004D6B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  <w:lang w:val="sr-Cyrl-RS"/>
              </w:rPr>
              <w:t>2</w:t>
            </w:r>
            <w:r w:rsidRPr="005C556C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  <w:t>0</w:t>
            </w:r>
          </w:p>
        </w:tc>
      </w:tr>
      <w:tr w:rsidR="00F10AE9" w:rsidRPr="00E84D50" w:rsidTr="009D559F">
        <w:trPr>
          <w:trHeight w:val="29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E9" w:rsidRPr="005C556C" w:rsidRDefault="00F10AE9" w:rsidP="00F10A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5.1.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IV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група – 20</w:t>
            </w:r>
            <w:r w:rsidR="005C556C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F10AE9" w:rsidRPr="005C556C" w:rsidRDefault="00F10AE9" w:rsidP="00F10A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5.2.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III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група – 15</w:t>
            </w:r>
            <w:r w:rsidR="005C556C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F10AE9" w:rsidRPr="005C556C" w:rsidRDefault="00F10AE9" w:rsidP="00F10A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5.3.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II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група – 10</w:t>
            </w:r>
            <w:r w:rsidR="005C556C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6E5CE4" w:rsidRDefault="00F10AE9" w:rsidP="00F10A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5.4.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I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група </w:t>
            </w:r>
            <w:r w:rsidR="006E5CE4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–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5</w:t>
            </w:r>
            <w:r w:rsidR="005C556C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4E51E4" w:rsidRPr="005C556C" w:rsidRDefault="004E51E4" w:rsidP="00F10AE9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Подела на групе дефинисана је Уредбом о утврђивању јединствене листе развијености региона и јединица локалне самоуправе за 2014. годину („Службени гласник РС“ број; 104/14)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E9" w:rsidRPr="005C556C" w:rsidRDefault="00F10AE9" w:rsidP="00F10AE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559F" w:rsidRPr="009D559F" w:rsidTr="00323A17">
        <w:trPr>
          <w:trHeight w:val="294"/>
        </w:trPr>
        <w:tc>
          <w:tcPr>
            <w:tcW w:w="6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9D559F" w:rsidRPr="005C556C" w:rsidRDefault="009D559F" w:rsidP="00323A1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6.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Усклађеност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предложених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мера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локалном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нивоу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стратешким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документима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националном</w:t>
            </w:r>
            <w:proofErr w:type="spellEnd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нивоу</w:t>
            </w:r>
            <w:proofErr w:type="spellEnd"/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9D559F" w:rsidRPr="005C556C" w:rsidRDefault="009D559F" w:rsidP="00323A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  <w:lang w:val="sr-Cyrl-RS"/>
              </w:rPr>
              <w:t>5</w:t>
            </w:r>
          </w:p>
        </w:tc>
      </w:tr>
      <w:tr w:rsidR="006E5CE4" w:rsidRPr="00E84D50" w:rsidTr="009D559F">
        <w:trPr>
          <w:trHeight w:val="29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E4" w:rsidRPr="005C556C" w:rsidRDefault="006E5CE4" w:rsidP="006E5CE4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6.1. Мере су усклађене са стратешким документима – 5 поена</w:t>
            </w:r>
          </w:p>
          <w:p w:rsidR="006E5CE4" w:rsidRPr="005220BF" w:rsidRDefault="006E5CE4" w:rsidP="006E5CE4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6.2. Мере нису усклађене са стратешким документима – 0 поена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CE4" w:rsidRPr="005C556C" w:rsidRDefault="006E5CE4" w:rsidP="006E5C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9D559F" w:rsidRPr="00E84D50" w:rsidTr="00B2042C">
        <w:trPr>
          <w:trHeight w:val="294"/>
        </w:trPr>
        <w:tc>
          <w:tcPr>
            <w:tcW w:w="6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9D559F" w:rsidRPr="004E51E4" w:rsidRDefault="009D559F" w:rsidP="004E51E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7. </w:t>
            </w:r>
            <w:r w:rsidR="004E51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Предложена мера усмерена је на подршку старосно осетљивом становништву (</w:t>
            </w:r>
            <w:proofErr w:type="spellStart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рано</w:t>
            </w:r>
            <w:proofErr w:type="spellEnd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детињство</w:t>
            </w:r>
            <w:proofErr w:type="spellEnd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адолесценција</w:t>
            </w:r>
            <w:proofErr w:type="spellEnd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4E51E4" w:rsidRPr="004E51E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старост</w:t>
            </w:r>
            <w:proofErr w:type="spellEnd"/>
            <w:r w:rsidR="004E51E4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9D559F" w:rsidRPr="005C556C" w:rsidRDefault="0077442A" w:rsidP="009D55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  <w:lang w:val="sr-Cyrl-RS"/>
              </w:rPr>
              <w:t>10</w:t>
            </w:r>
          </w:p>
        </w:tc>
      </w:tr>
      <w:tr w:rsidR="009D559F" w:rsidTr="00323A17">
        <w:trPr>
          <w:trHeight w:val="294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9F" w:rsidRPr="005C556C" w:rsidRDefault="009D559F" w:rsidP="00323A17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7.1. Предложена мера је усмерена на подршку старосно осетљивом становништву</w:t>
            </w:r>
            <w:r w:rsidR="0077442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– 10</w:t>
            </w:r>
            <w:r w:rsidR="005C556C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поена</w:t>
            </w:r>
          </w:p>
          <w:p w:rsidR="009D559F" w:rsidRPr="005C556C" w:rsidRDefault="005C556C" w:rsidP="0077442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7</w:t>
            </w:r>
            <w:r w:rsidR="009D559F"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.2. </w:t>
            </w:r>
            <w:r w:rsidRPr="005C556C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Предложена мера није усмерена на подршку старосно осетљивом становништву– 0 поена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F" w:rsidRPr="005C556C" w:rsidRDefault="009D559F" w:rsidP="00323A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5C556C" w:rsidRPr="009D559F" w:rsidTr="00323A17">
        <w:trPr>
          <w:trHeight w:val="294"/>
        </w:trPr>
        <w:tc>
          <w:tcPr>
            <w:tcW w:w="6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5C556C" w:rsidRPr="005C556C" w:rsidRDefault="005C556C" w:rsidP="005C556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  <w:lang w:val="sr-Cyrl-RS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Максималан број поена</w:t>
            </w:r>
          </w:p>
        </w:tc>
        <w:tc>
          <w:tcPr>
            <w:tcW w:w="182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5DCE4"/>
            <w:vAlign w:val="center"/>
          </w:tcPr>
          <w:p w:rsidR="005C556C" w:rsidRPr="005C556C" w:rsidRDefault="005C556C" w:rsidP="00323A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</w:pPr>
            <w:r w:rsidRPr="005C556C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  <w:lang w:val="sr-Cyrl-RS"/>
              </w:rPr>
              <w:t>100</w:t>
            </w:r>
          </w:p>
        </w:tc>
      </w:tr>
    </w:tbl>
    <w:p w:rsidR="00544BAC" w:rsidRPr="004E51E4" w:rsidRDefault="00544BAC" w:rsidP="004E51E4">
      <w:pPr>
        <w:tabs>
          <w:tab w:val="left" w:pos="3048"/>
        </w:tabs>
      </w:pPr>
    </w:p>
    <w:sectPr w:rsidR="00544BAC" w:rsidRPr="004E51E4" w:rsidSect="00E84D50">
      <w:pgSz w:w="12240" w:h="15840"/>
      <w:pgMar w:top="568" w:right="1417" w:bottom="284" w:left="1417" w:header="0" w:footer="0" w:gutter="0"/>
      <w:cols w:space="0" w:equalWidth="0">
        <w:col w:w="89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04FC"/>
    <w:multiLevelType w:val="multilevel"/>
    <w:tmpl w:val="F1E21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1"/>
    <w:rsid w:val="000655D5"/>
    <w:rsid w:val="00067895"/>
    <w:rsid w:val="00074332"/>
    <w:rsid w:val="000F11B5"/>
    <w:rsid w:val="00104C89"/>
    <w:rsid w:val="00143616"/>
    <w:rsid w:val="00171165"/>
    <w:rsid w:val="001B3DEB"/>
    <w:rsid w:val="00273B7F"/>
    <w:rsid w:val="002C32CF"/>
    <w:rsid w:val="00300F53"/>
    <w:rsid w:val="003B399A"/>
    <w:rsid w:val="003C3F47"/>
    <w:rsid w:val="00402D97"/>
    <w:rsid w:val="0042495C"/>
    <w:rsid w:val="004778BE"/>
    <w:rsid w:val="004E51E4"/>
    <w:rsid w:val="005220BF"/>
    <w:rsid w:val="00544BAC"/>
    <w:rsid w:val="005C556C"/>
    <w:rsid w:val="006E5CE4"/>
    <w:rsid w:val="007029DA"/>
    <w:rsid w:val="00767053"/>
    <w:rsid w:val="0077442A"/>
    <w:rsid w:val="00775A41"/>
    <w:rsid w:val="00803DBC"/>
    <w:rsid w:val="00811B27"/>
    <w:rsid w:val="008446E3"/>
    <w:rsid w:val="00881D07"/>
    <w:rsid w:val="008C0CFF"/>
    <w:rsid w:val="00905274"/>
    <w:rsid w:val="009D559F"/>
    <w:rsid w:val="00A228A6"/>
    <w:rsid w:val="00A36CD0"/>
    <w:rsid w:val="00A87EF2"/>
    <w:rsid w:val="00B23CB6"/>
    <w:rsid w:val="00B726E3"/>
    <w:rsid w:val="00BE07CE"/>
    <w:rsid w:val="00C7225E"/>
    <w:rsid w:val="00CE720B"/>
    <w:rsid w:val="00D47B05"/>
    <w:rsid w:val="00D62758"/>
    <w:rsid w:val="00E84D50"/>
    <w:rsid w:val="00EE720B"/>
    <w:rsid w:val="00F00104"/>
    <w:rsid w:val="00F10AE9"/>
    <w:rsid w:val="00F57CFC"/>
    <w:rsid w:val="00FC36D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6058"/>
  <w15:docId w15:val="{44FB1A6C-9E31-4AC6-89EE-7988B22B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9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263C-FD50-442A-A259-B0F9D25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 Popovic</dc:creator>
  <cp:lastModifiedBy>Jelena Kovačević</cp:lastModifiedBy>
  <cp:revision>8</cp:revision>
  <cp:lastPrinted>2017-04-12T06:54:00Z</cp:lastPrinted>
  <dcterms:created xsi:type="dcterms:W3CDTF">2023-04-05T12:54:00Z</dcterms:created>
  <dcterms:modified xsi:type="dcterms:W3CDTF">2024-01-03T09:01:00Z</dcterms:modified>
</cp:coreProperties>
</file>